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15" w:rsidRPr="002D1D15" w:rsidRDefault="002D1D15" w:rsidP="002D1D15">
      <w:pPr>
        <w:spacing w:after="0" w:line="240" w:lineRule="auto"/>
        <w:ind w:firstLine="709"/>
        <w:contextualSpacing/>
        <w:jc w:val="center"/>
        <w:rPr>
          <w:rFonts w:ascii="Times New Roman" w:hAnsi="Times New Roman" w:cs="Times New Roman"/>
          <w:b/>
          <w:sz w:val="32"/>
          <w:szCs w:val="32"/>
        </w:rPr>
      </w:pPr>
      <w:r w:rsidRPr="002D1D15">
        <w:rPr>
          <w:rFonts w:ascii="Times New Roman" w:hAnsi="Times New Roman" w:cs="Times New Roman"/>
          <w:b/>
          <w:sz w:val="32"/>
          <w:szCs w:val="32"/>
        </w:rPr>
        <w:t>Роз’яснення щодо практичного застосування вимог Закону України «Про засади державної регуляторної політики у сфері господарської діяльності» під час оприлюдне</w:t>
      </w:r>
      <w:r w:rsidRPr="002D1D15">
        <w:rPr>
          <w:rFonts w:ascii="Times New Roman" w:hAnsi="Times New Roman" w:cs="Times New Roman"/>
          <w:b/>
          <w:sz w:val="32"/>
          <w:szCs w:val="32"/>
        </w:rPr>
        <w:t>ння проектів регуляторних актів</w:t>
      </w:r>
    </w:p>
    <w:p w:rsidR="002D1D15" w:rsidRDefault="002D1D15" w:rsidP="002D1D15">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Ві</w:t>
      </w:r>
      <w:bookmarkStart w:id="0" w:name="_GoBack"/>
      <w:bookmarkEnd w:id="0"/>
      <w:r>
        <w:rPr>
          <w:rFonts w:ascii="Times New Roman" w:hAnsi="Times New Roman" w:cs="Times New Roman"/>
          <w:sz w:val="28"/>
        </w:rPr>
        <w:t>дповідно до статті 5 Закону України «Про засади державної регуляторної політики у сфері господарської діяльності» (далі – Закон)</w:t>
      </w:r>
      <w:r>
        <w:rPr>
          <w:rFonts w:ascii="Times New Roman" w:hAnsi="Times New Roman" w:cs="Times New Roman"/>
          <w:sz w:val="28"/>
          <w:lang w:val="ru-RU"/>
        </w:rPr>
        <w:t> </w:t>
      </w:r>
      <w:r>
        <w:rPr>
          <w:rFonts w:ascii="Times New Roman" w:hAnsi="Times New Roman" w:cs="Times New Roman"/>
          <w:b/>
          <w:bCs/>
          <w:sz w:val="28"/>
        </w:rPr>
        <w:t>оприлюднення проектів регуляторних актів з метою одержання зауважень і пропозицій є складовою забезпечення здійснення державної регуляторної політики</w:t>
      </w:r>
      <w:r>
        <w:rPr>
          <w:rFonts w:ascii="Times New Roman" w:hAnsi="Times New Roman" w:cs="Times New Roman"/>
          <w:sz w:val="28"/>
        </w:rPr>
        <w:t>.</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Метою такого оприлюднення є </w:t>
      </w:r>
      <w:r>
        <w:rPr>
          <w:rFonts w:ascii="Times New Roman" w:hAnsi="Times New Roman" w:cs="Times New Roman"/>
          <w:b/>
          <w:bCs/>
          <w:sz w:val="28"/>
          <w:lang w:val="ru-RU"/>
        </w:rPr>
        <w:t>практична реалізація одного з ключових принципів державної регуляторної політики, а саме принципу прозорості та врахування громадської думки</w:t>
      </w:r>
      <w:r>
        <w:rPr>
          <w:rFonts w:ascii="Times New Roman" w:hAnsi="Times New Roman" w:cs="Times New Roman"/>
          <w:sz w:val="28"/>
          <w:lang w:val="ru-RU"/>
        </w:rPr>
        <w:t>, який передбачає:</w:t>
      </w:r>
    </w:p>
    <w:p w:rsidR="002D1D15" w:rsidRDefault="002D1D15" w:rsidP="002D1D15">
      <w:pPr>
        <w:numPr>
          <w:ilvl w:val="0"/>
          <w:numId w:val="1"/>
        </w:numPr>
        <w:spacing w:after="0" w:line="240" w:lineRule="auto"/>
        <w:contextualSpacing/>
        <w:jc w:val="both"/>
        <w:rPr>
          <w:rFonts w:ascii="Times New Roman" w:hAnsi="Times New Roman" w:cs="Times New Roman"/>
          <w:sz w:val="28"/>
          <w:lang w:val="ru-RU"/>
        </w:rPr>
      </w:pPr>
      <w:r>
        <w:rPr>
          <w:rFonts w:ascii="Times New Roman" w:hAnsi="Times New Roman" w:cs="Times New Roman"/>
          <w:b/>
          <w:bCs/>
          <w:sz w:val="28"/>
          <w:lang w:val="ru-RU"/>
        </w:rPr>
        <w:t>відкритість</w:t>
      </w:r>
      <w:r>
        <w:rPr>
          <w:rFonts w:ascii="Times New Roman" w:hAnsi="Times New Roman" w:cs="Times New Roman"/>
          <w:sz w:val="28"/>
          <w:lang w:val="ru-RU"/>
        </w:rPr>
        <w:t> для фізичних та юридичних осіб, їх об’єднань </w:t>
      </w:r>
      <w:r>
        <w:rPr>
          <w:rFonts w:ascii="Times New Roman" w:hAnsi="Times New Roman" w:cs="Times New Roman"/>
          <w:b/>
          <w:bCs/>
          <w:sz w:val="28"/>
          <w:lang w:val="ru-RU"/>
        </w:rPr>
        <w:t>дій регуляторних органів на всіх етапах їх регуляторної діяльності</w:t>
      </w:r>
      <w:r>
        <w:rPr>
          <w:rFonts w:ascii="Times New Roman" w:hAnsi="Times New Roman" w:cs="Times New Roman"/>
          <w:sz w:val="28"/>
          <w:lang w:val="ru-RU"/>
        </w:rPr>
        <w:t>;</w:t>
      </w:r>
    </w:p>
    <w:p w:rsidR="002D1D15" w:rsidRDefault="002D1D15" w:rsidP="002D1D15">
      <w:pPr>
        <w:numPr>
          <w:ilvl w:val="0"/>
          <w:numId w:val="1"/>
        </w:numPr>
        <w:spacing w:after="0" w:line="240" w:lineRule="auto"/>
        <w:contextualSpacing/>
        <w:jc w:val="both"/>
        <w:rPr>
          <w:rFonts w:ascii="Times New Roman" w:hAnsi="Times New Roman" w:cs="Times New Roman"/>
          <w:sz w:val="28"/>
          <w:lang w:val="ru-RU"/>
        </w:rPr>
      </w:pPr>
      <w:r>
        <w:rPr>
          <w:rFonts w:ascii="Times New Roman" w:hAnsi="Times New Roman" w:cs="Times New Roman"/>
          <w:b/>
          <w:bCs/>
          <w:sz w:val="28"/>
          <w:lang w:val="ru-RU"/>
        </w:rPr>
        <w:t>обов’язковий розгляд регуляторними органами</w:t>
      </w:r>
      <w:r>
        <w:rPr>
          <w:rFonts w:ascii="Times New Roman" w:hAnsi="Times New Roman" w:cs="Times New Roman"/>
          <w:sz w:val="28"/>
          <w:lang w:val="ru-RU"/>
        </w:rPr>
        <w:t> </w:t>
      </w:r>
      <w:r>
        <w:rPr>
          <w:rFonts w:ascii="Times New Roman" w:hAnsi="Times New Roman" w:cs="Times New Roman"/>
          <w:b/>
          <w:bCs/>
          <w:sz w:val="28"/>
          <w:lang w:val="ru-RU"/>
        </w:rPr>
        <w:t>ініціатив, зауважень та пропозицій</w:t>
      </w:r>
      <w:r>
        <w:rPr>
          <w:rFonts w:ascii="Times New Roman" w:hAnsi="Times New Roman" w:cs="Times New Roman"/>
          <w:sz w:val="28"/>
          <w:lang w:val="ru-RU"/>
        </w:rPr>
        <w:t>, наданих у встановленому законом порядку фізичними та юридичними особами, їх об’єднаннями;</w:t>
      </w:r>
    </w:p>
    <w:p w:rsidR="002D1D15" w:rsidRDefault="002D1D15" w:rsidP="002D1D15">
      <w:pPr>
        <w:numPr>
          <w:ilvl w:val="0"/>
          <w:numId w:val="1"/>
        </w:numPr>
        <w:spacing w:after="0" w:line="240" w:lineRule="auto"/>
        <w:contextualSpacing/>
        <w:jc w:val="both"/>
        <w:rPr>
          <w:rFonts w:ascii="Times New Roman" w:hAnsi="Times New Roman" w:cs="Times New Roman"/>
          <w:sz w:val="28"/>
          <w:lang w:val="ru-RU"/>
        </w:rPr>
      </w:pPr>
      <w:r>
        <w:rPr>
          <w:rFonts w:ascii="Times New Roman" w:hAnsi="Times New Roman" w:cs="Times New Roman"/>
          <w:b/>
          <w:bCs/>
          <w:sz w:val="28"/>
          <w:lang w:val="ru-RU"/>
        </w:rPr>
        <w:t>обов’язковість і своєчасність доведення прийнятих регуляторних актів до відома фізичних та юридичних осіб</w:t>
      </w:r>
      <w:r>
        <w:rPr>
          <w:rFonts w:ascii="Times New Roman" w:hAnsi="Times New Roman" w:cs="Times New Roman"/>
          <w:sz w:val="28"/>
          <w:lang w:val="ru-RU"/>
        </w:rPr>
        <w:t>, їх об’єднань, інформування громадськості про здійснення регуляторної діяльності.</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Згідно з вимогами статті 9 Закону </w:t>
      </w:r>
      <w:r>
        <w:rPr>
          <w:rFonts w:ascii="Times New Roman" w:hAnsi="Times New Roman" w:cs="Times New Roman"/>
          <w:b/>
          <w:bCs/>
          <w:sz w:val="28"/>
          <w:lang w:val="ru-RU"/>
        </w:rPr>
        <w:t>кожен проект регуляторного акта оприлюднюється з метою одержання зауважень і пропозицій від фізичних та юридичних осіб, їх об’єднань</w:t>
      </w:r>
      <w:r>
        <w:rPr>
          <w:rFonts w:ascii="Times New Roman" w:hAnsi="Times New Roman" w:cs="Times New Roman"/>
          <w:sz w:val="28"/>
          <w:lang w:val="ru-RU"/>
        </w:rPr>
        <w:t>.</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Про оприлюднення проекту регуляторного акта з метою одержання зауважень і пропозицій розробник цього проекту повідомляє у спосіб, передбачений статтею 13 цього Закону, а саме шляхом опублікування в друкованих засобах масової інформації розробника цього проекту, а у разі їх відсутності – у друкованих засобах масової інформації, визначених розробником цього проекту, та/або шляхом розміщення на офіційній сторінці розробника проекту регуляторного акта в мережі Інтернет.</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При цьому, статтею 9 Закону також встановлено чіткі вимоги до процедури оприлюднення проекту регуляторного акта та реагування на одержані зауваження та пропозиції.</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Зокрема, </w:t>
      </w:r>
      <w:r>
        <w:rPr>
          <w:rFonts w:ascii="Times New Roman" w:hAnsi="Times New Roman" w:cs="Times New Roman"/>
          <w:b/>
          <w:bCs/>
          <w:sz w:val="28"/>
          <w:lang w:val="ru-RU"/>
        </w:rPr>
        <w:t>розробник проекту регуляторного акта</w:t>
      </w:r>
      <w:r>
        <w:rPr>
          <w:rFonts w:ascii="Times New Roman" w:hAnsi="Times New Roman" w:cs="Times New Roman"/>
          <w:sz w:val="28"/>
          <w:lang w:val="ru-RU"/>
        </w:rPr>
        <w:t>, окрім оприлюднення проекту та аналізу регуляторного впливу до нього, </w:t>
      </w:r>
      <w:r>
        <w:rPr>
          <w:rFonts w:ascii="Times New Roman" w:hAnsi="Times New Roman" w:cs="Times New Roman"/>
          <w:b/>
          <w:bCs/>
          <w:sz w:val="28"/>
          <w:lang w:val="ru-RU"/>
        </w:rPr>
        <w:t>обов’язково оприлюднює повідомлення, у якому зазначає стислий виклад змісту проекту, поштову та електронну адресу розробника</w:t>
      </w:r>
      <w:r>
        <w:rPr>
          <w:rFonts w:ascii="Times New Roman" w:hAnsi="Times New Roman" w:cs="Times New Roman"/>
          <w:sz w:val="28"/>
          <w:lang w:val="ru-RU"/>
        </w:rPr>
        <w:t> проекту та інших органів, до яких відповідно до Закону або за ініціативою розробника надсилаються зауваження та пропозиції, а </w:t>
      </w:r>
      <w:r>
        <w:rPr>
          <w:rFonts w:ascii="Times New Roman" w:hAnsi="Times New Roman" w:cs="Times New Roman"/>
          <w:b/>
          <w:bCs/>
          <w:sz w:val="28"/>
          <w:lang w:val="ru-RU"/>
        </w:rPr>
        <w:t>інформацію про строк, протягом якого приймаються зауваження та пропозиції</w:t>
      </w:r>
      <w:r>
        <w:rPr>
          <w:rFonts w:ascii="Times New Roman" w:hAnsi="Times New Roman" w:cs="Times New Roman"/>
          <w:sz w:val="28"/>
          <w:lang w:val="ru-RU"/>
        </w:rPr>
        <w:t> від фізичних та юридичних осіб, їх об’єднань.</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b/>
          <w:bCs/>
          <w:sz w:val="28"/>
          <w:lang w:val="ru-RU"/>
        </w:rPr>
        <w:t>Строк, протягом якого від фізичних та юридичних осіб</w:t>
      </w:r>
      <w:r>
        <w:rPr>
          <w:rFonts w:ascii="Times New Roman" w:hAnsi="Times New Roman" w:cs="Times New Roman"/>
          <w:sz w:val="28"/>
          <w:lang w:val="ru-RU"/>
        </w:rPr>
        <w:t>, їх об’єднань приймаються зауваження та пропозиції, встановлюється розробником проекту регуляторного акта і </w:t>
      </w:r>
      <w:r>
        <w:rPr>
          <w:rFonts w:ascii="Times New Roman" w:hAnsi="Times New Roman" w:cs="Times New Roman"/>
          <w:b/>
          <w:bCs/>
          <w:sz w:val="28"/>
          <w:lang w:val="ru-RU"/>
        </w:rPr>
        <w:t xml:space="preserve">не може бути меншим ніж один </w:t>
      </w:r>
      <w:r>
        <w:rPr>
          <w:rFonts w:ascii="Times New Roman" w:hAnsi="Times New Roman" w:cs="Times New Roman"/>
          <w:b/>
          <w:bCs/>
          <w:sz w:val="28"/>
          <w:lang w:val="ru-RU"/>
        </w:rPr>
        <w:lastRenderedPageBreak/>
        <w:t>місяць та більшим ніж три місяці з дня оприлюднення проекту регуляторного акта</w:t>
      </w:r>
      <w:r>
        <w:rPr>
          <w:rFonts w:ascii="Times New Roman" w:hAnsi="Times New Roman" w:cs="Times New Roman"/>
          <w:sz w:val="28"/>
          <w:lang w:val="ru-RU"/>
        </w:rPr>
        <w:t> та відповідного аналізу регуляторного впливу.</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b/>
          <w:bCs/>
          <w:sz w:val="28"/>
          <w:lang w:val="ru-RU"/>
        </w:rPr>
        <w:t>Усі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цього проекту</w:t>
      </w:r>
      <w:r>
        <w:rPr>
          <w:rFonts w:ascii="Times New Roman" w:hAnsi="Times New Roman" w:cs="Times New Roman"/>
          <w:sz w:val="28"/>
          <w:lang w:val="ru-RU"/>
        </w:rPr>
        <w:t>. 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відхиляє.</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Водночас, </w:t>
      </w:r>
      <w:r>
        <w:rPr>
          <w:rFonts w:ascii="Times New Roman" w:hAnsi="Times New Roman" w:cs="Times New Roman"/>
          <w:b/>
          <w:bCs/>
          <w:sz w:val="28"/>
          <w:lang w:val="ru-RU"/>
        </w:rPr>
        <w:t>аналіз практики застосування законодавства про державну регуляторну політику виявив деякі проблемні питання</w:t>
      </w:r>
      <w:r>
        <w:rPr>
          <w:rFonts w:ascii="Times New Roman" w:hAnsi="Times New Roman" w:cs="Times New Roman"/>
          <w:sz w:val="28"/>
          <w:lang w:val="ru-RU"/>
        </w:rPr>
        <w:t>, пов’язані з виконанням регуляторними органами вимог Закону в частині оприлюднення проектів регуляторних актів з метою одержання зауважень і пропозицій.</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Відповідно до статті 21 Закону для погодження до уповноваженого органу </w:t>
      </w:r>
      <w:r>
        <w:rPr>
          <w:rFonts w:ascii="Times New Roman" w:hAnsi="Times New Roman" w:cs="Times New Roman"/>
          <w:b/>
          <w:bCs/>
          <w:sz w:val="28"/>
          <w:lang w:val="ru-RU"/>
        </w:rPr>
        <w:t>разом з проектом регуляторного акта подаються аналіз регуляторного впливу цього проекту та</w:t>
      </w:r>
      <w:r>
        <w:rPr>
          <w:rFonts w:ascii="Times New Roman" w:hAnsi="Times New Roman" w:cs="Times New Roman"/>
          <w:sz w:val="28"/>
          <w:lang w:val="ru-RU"/>
        </w:rPr>
        <w:t> </w:t>
      </w:r>
      <w:r>
        <w:rPr>
          <w:rFonts w:ascii="Times New Roman" w:hAnsi="Times New Roman" w:cs="Times New Roman"/>
          <w:b/>
          <w:bCs/>
          <w:sz w:val="28"/>
          <w:lang w:val="ru-RU"/>
        </w:rPr>
        <w:t>копія оприлюдненого повідомлення про оприлюднення проекту з метою одержання зауважень і пропозицій</w:t>
      </w:r>
      <w:r>
        <w:rPr>
          <w:rFonts w:ascii="Times New Roman" w:hAnsi="Times New Roman" w:cs="Times New Roman"/>
          <w:sz w:val="28"/>
          <w:lang w:val="ru-RU"/>
        </w:rPr>
        <w:t>.</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Натомість, </w:t>
      </w:r>
      <w:r>
        <w:rPr>
          <w:rFonts w:ascii="Times New Roman" w:hAnsi="Times New Roman" w:cs="Times New Roman"/>
          <w:b/>
          <w:bCs/>
          <w:i/>
          <w:iCs/>
          <w:sz w:val="28"/>
          <w:lang w:val="ru-RU"/>
        </w:rPr>
        <w:t>на погодження до ДРС надаються проекти регуляторних актів, у повідомленні про оприлюднення яких відсутня інформація про дату початку прийому зауважень та пропозицій</w:t>
      </w:r>
      <w:r>
        <w:rPr>
          <w:rFonts w:ascii="Times New Roman" w:hAnsi="Times New Roman" w:cs="Times New Roman"/>
          <w:i/>
          <w:iCs/>
          <w:sz w:val="28"/>
          <w:lang w:val="ru-RU"/>
        </w:rPr>
        <w:t> від громадськості та строку, протягом якого приймаються такі зауваження.</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i/>
          <w:iCs/>
          <w:sz w:val="28"/>
          <w:lang w:val="ru-RU"/>
        </w:rPr>
        <w:t>Це призводить до </w:t>
      </w:r>
      <w:r>
        <w:rPr>
          <w:rFonts w:ascii="Times New Roman" w:hAnsi="Times New Roman" w:cs="Times New Roman"/>
          <w:b/>
          <w:bCs/>
          <w:i/>
          <w:iCs/>
          <w:sz w:val="28"/>
          <w:lang w:val="ru-RU"/>
        </w:rPr>
        <w:t>унеможливлення встановлення факту дотримання розробником мінімального строку оприлюднення</w:t>
      </w:r>
      <w:r>
        <w:rPr>
          <w:rFonts w:ascii="Times New Roman" w:hAnsi="Times New Roman" w:cs="Times New Roman"/>
          <w:i/>
          <w:iCs/>
          <w:sz w:val="28"/>
          <w:lang w:val="ru-RU"/>
        </w:rPr>
        <w:t> проекту регуляторного акта та інших вимог статті 9 Закону.</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i/>
          <w:iCs/>
          <w:sz w:val="28"/>
          <w:lang w:val="ru-RU"/>
        </w:rPr>
        <w:t>Невиконання вимог зазначеної статті є </w:t>
      </w:r>
      <w:r>
        <w:rPr>
          <w:rFonts w:ascii="Times New Roman" w:hAnsi="Times New Roman" w:cs="Times New Roman"/>
          <w:b/>
          <w:bCs/>
          <w:i/>
          <w:iCs/>
          <w:sz w:val="28"/>
          <w:lang w:val="ru-RU"/>
        </w:rPr>
        <w:t>порушенням принципу прозорості та врахування громадської думки, що є однією з підстав прийняття ДРС рішення про відмову в погодженні проекту регуляторного акта</w:t>
      </w:r>
      <w:r>
        <w:rPr>
          <w:rFonts w:ascii="Times New Roman" w:hAnsi="Times New Roman" w:cs="Times New Roman"/>
          <w:i/>
          <w:iCs/>
          <w:sz w:val="28"/>
          <w:lang w:val="ru-RU"/>
        </w:rPr>
        <w:t>.</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Досить поширеною є також </w:t>
      </w:r>
      <w:r>
        <w:rPr>
          <w:rFonts w:ascii="Times New Roman" w:hAnsi="Times New Roman" w:cs="Times New Roman"/>
          <w:b/>
          <w:bCs/>
          <w:i/>
          <w:iCs/>
          <w:sz w:val="28"/>
          <w:lang w:val="ru-RU"/>
        </w:rPr>
        <w:t>практика подання на погодження до ДРС проектів регуляторних актів, мінімальний строк оприлюднення яких з метою одержання зауважень і пропозицій ще не закінчений</w:t>
      </w:r>
      <w:r>
        <w:rPr>
          <w:rFonts w:ascii="Times New Roman" w:hAnsi="Times New Roman" w:cs="Times New Roman"/>
          <w:i/>
          <w:iCs/>
          <w:sz w:val="28"/>
          <w:lang w:val="ru-RU"/>
        </w:rPr>
        <w:t>.</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i/>
          <w:iCs/>
          <w:sz w:val="28"/>
          <w:lang w:val="ru-RU"/>
        </w:rPr>
        <w:t>Згідно Закону </w:t>
      </w:r>
      <w:r>
        <w:rPr>
          <w:rFonts w:ascii="Times New Roman" w:hAnsi="Times New Roman" w:cs="Times New Roman"/>
          <w:b/>
          <w:bCs/>
          <w:i/>
          <w:iCs/>
          <w:sz w:val="28"/>
          <w:lang w:val="ru-RU"/>
        </w:rPr>
        <w:t>фізичні та юридичні особи, їх об’єднання мають право подавати зауваження та пропозиції</w:t>
      </w:r>
      <w:r>
        <w:rPr>
          <w:rFonts w:ascii="Times New Roman" w:hAnsi="Times New Roman" w:cs="Times New Roman"/>
          <w:i/>
          <w:iCs/>
          <w:sz w:val="28"/>
          <w:lang w:val="ru-RU"/>
        </w:rPr>
        <w:t> до проекту регуляторного акту </w:t>
      </w:r>
      <w:r>
        <w:rPr>
          <w:rFonts w:ascii="Times New Roman" w:hAnsi="Times New Roman" w:cs="Times New Roman"/>
          <w:b/>
          <w:bCs/>
          <w:i/>
          <w:iCs/>
          <w:sz w:val="28"/>
          <w:lang w:val="ru-RU"/>
        </w:rPr>
        <w:t>протягом усього строку прийому таких зауважень</w:t>
      </w:r>
      <w:r>
        <w:rPr>
          <w:rFonts w:ascii="Times New Roman" w:hAnsi="Times New Roman" w:cs="Times New Roman"/>
          <w:i/>
          <w:iCs/>
          <w:sz w:val="28"/>
          <w:lang w:val="ru-RU"/>
        </w:rPr>
        <w:t>, що не може бути меншим за один місяць.</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i/>
          <w:iCs/>
          <w:sz w:val="28"/>
          <w:lang w:val="ru-RU"/>
        </w:rPr>
        <w:t>Водночас існує імовірність, що зауваження та пропозиції, які надійдуть до проекту регуляторного акта до завершення строку його оприлюднення, але після його подання на погодження до ДРС або прийняття рішення про погодження такого проекту, не будуть розглянуті розробником.</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i/>
          <w:iCs/>
          <w:sz w:val="28"/>
          <w:lang w:val="ru-RU"/>
        </w:rPr>
        <w:t>Наслідком цього може бути порушення розробником вимог статті 9 Закону і принципу</w:t>
      </w:r>
      <w:r>
        <w:rPr>
          <w:rFonts w:ascii="Times New Roman" w:hAnsi="Times New Roman" w:cs="Times New Roman"/>
          <w:b/>
          <w:bCs/>
          <w:i/>
          <w:iCs/>
          <w:sz w:val="28"/>
          <w:lang w:val="ru-RU"/>
        </w:rPr>
        <w:t> прозорості та врахування громадської думки та прав громадян, суб’єктів господарювання, їх об’єднань у здійсненні державної регуляторної політики, визначених статтею 6 Закону</w:t>
      </w:r>
      <w:r>
        <w:rPr>
          <w:rFonts w:ascii="Times New Roman" w:hAnsi="Times New Roman" w:cs="Times New Roman"/>
          <w:i/>
          <w:iCs/>
          <w:sz w:val="28"/>
          <w:lang w:val="ru-RU"/>
        </w:rPr>
        <w:t>.</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lastRenderedPageBreak/>
        <w:t>Враховуючи викладене вище та з метою дотримання принципу прозорості та врахування громадської думки, </w:t>
      </w:r>
      <w:r>
        <w:rPr>
          <w:rFonts w:ascii="Times New Roman" w:hAnsi="Times New Roman" w:cs="Times New Roman"/>
          <w:b/>
          <w:bCs/>
          <w:sz w:val="28"/>
          <w:lang w:val="ru-RU"/>
        </w:rPr>
        <w:t>наголошуємо на неухильному виконанні вимог</w:t>
      </w:r>
      <w:r>
        <w:rPr>
          <w:rFonts w:ascii="Times New Roman" w:hAnsi="Times New Roman" w:cs="Times New Roman"/>
          <w:sz w:val="28"/>
          <w:lang w:val="ru-RU"/>
        </w:rPr>
        <w:t> Закону  України «Про засади державної регуляторної політики у сфері господарської діяльності» </w:t>
      </w:r>
      <w:r>
        <w:rPr>
          <w:rFonts w:ascii="Times New Roman" w:hAnsi="Times New Roman" w:cs="Times New Roman"/>
          <w:b/>
          <w:bCs/>
          <w:sz w:val="28"/>
          <w:lang w:val="ru-RU"/>
        </w:rPr>
        <w:t>під час оприлюднення проектів регуляторних актів</w:t>
      </w:r>
      <w:r>
        <w:rPr>
          <w:rFonts w:ascii="Times New Roman" w:hAnsi="Times New Roman" w:cs="Times New Roman"/>
          <w:sz w:val="28"/>
          <w:lang w:val="ru-RU"/>
        </w:rPr>
        <w:t> </w:t>
      </w:r>
      <w:r>
        <w:rPr>
          <w:rFonts w:ascii="Times New Roman" w:hAnsi="Times New Roman" w:cs="Times New Roman"/>
          <w:b/>
          <w:bCs/>
          <w:sz w:val="28"/>
          <w:lang w:val="ru-RU"/>
        </w:rPr>
        <w:t>з метою одержання зауважень і пропозицій та рекомендуємо</w:t>
      </w:r>
      <w:r>
        <w:rPr>
          <w:rFonts w:ascii="Times New Roman" w:hAnsi="Times New Roman" w:cs="Times New Roman"/>
          <w:sz w:val="28"/>
          <w:lang w:val="ru-RU"/>
        </w:rPr>
        <w:t>:</w:t>
      </w:r>
    </w:p>
    <w:p w:rsidR="002D1D15" w:rsidRDefault="002D1D15" w:rsidP="002D1D15">
      <w:pPr>
        <w:numPr>
          <w:ilvl w:val="0"/>
          <w:numId w:val="2"/>
        </w:numPr>
        <w:spacing w:after="0" w:line="240" w:lineRule="auto"/>
        <w:contextualSpacing/>
        <w:jc w:val="both"/>
        <w:rPr>
          <w:rFonts w:ascii="Times New Roman" w:hAnsi="Times New Roman" w:cs="Times New Roman"/>
          <w:sz w:val="28"/>
          <w:lang w:val="ru-RU"/>
        </w:rPr>
      </w:pPr>
      <w:r>
        <w:rPr>
          <w:rFonts w:ascii="Times New Roman" w:hAnsi="Times New Roman" w:cs="Times New Roman"/>
          <w:sz w:val="28"/>
          <w:lang w:val="ru-RU"/>
        </w:rPr>
        <w:t>чітко дотримуватися вимог, встановлених статтею 9 Закону до повідомлення про оприлюднення проекту регуляторного акта, зокрема, щодо визначення дати початку строку, протягом якого від фізичних та юридичних осіб, їх об’єднань приймаються зауваження та пропозиції;</w:t>
      </w:r>
    </w:p>
    <w:p w:rsidR="002D1D15" w:rsidRDefault="002D1D15" w:rsidP="002D1D15">
      <w:pPr>
        <w:numPr>
          <w:ilvl w:val="0"/>
          <w:numId w:val="2"/>
        </w:numPr>
        <w:spacing w:after="0" w:line="240" w:lineRule="auto"/>
        <w:contextualSpacing/>
        <w:jc w:val="both"/>
        <w:rPr>
          <w:rFonts w:ascii="Times New Roman" w:hAnsi="Times New Roman" w:cs="Times New Roman"/>
          <w:sz w:val="28"/>
          <w:lang w:val="ru-RU"/>
        </w:rPr>
      </w:pPr>
      <w:r>
        <w:rPr>
          <w:rFonts w:ascii="Times New Roman" w:hAnsi="Times New Roman" w:cs="Times New Roman"/>
          <w:sz w:val="28"/>
          <w:lang w:val="ru-RU"/>
        </w:rPr>
        <w:t>в обов’язковому порядку розглядати усі зауваження і пропозиції до проекту регуляторного акта та відповідного аналізу регуляторного впливу, одержані протягом встановленого строку;</w:t>
      </w:r>
    </w:p>
    <w:p w:rsidR="002D1D15" w:rsidRDefault="002D1D15" w:rsidP="002D1D15">
      <w:pPr>
        <w:numPr>
          <w:ilvl w:val="0"/>
          <w:numId w:val="2"/>
        </w:numPr>
        <w:spacing w:after="0" w:line="240" w:lineRule="auto"/>
        <w:contextualSpacing/>
        <w:jc w:val="both"/>
        <w:rPr>
          <w:rFonts w:ascii="Times New Roman" w:hAnsi="Times New Roman" w:cs="Times New Roman"/>
          <w:sz w:val="28"/>
          <w:lang w:val="ru-RU"/>
        </w:rPr>
      </w:pPr>
      <w:r>
        <w:rPr>
          <w:rFonts w:ascii="Times New Roman" w:hAnsi="Times New Roman" w:cs="Times New Roman"/>
          <w:sz w:val="28"/>
          <w:lang w:val="ru-RU"/>
        </w:rPr>
        <w:t>направляти проект регуляторного акта на погодження до ДРС після завершення строку оприлюднення такого проекту та розгляду усіх зауважень і пропозицій, що надійшли до нього.</w:t>
      </w:r>
    </w:p>
    <w:p w:rsidR="002D1D15" w:rsidRDefault="002D1D15" w:rsidP="002D1D15">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Звертаємо увагу, що у постанові Верховного Суду від 27.11.2018 у справі № 826/2507/18 колегія суддів дійшла висновку, що </w:t>
      </w:r>
      <w:r>
        <w:rPr>
          <w:rFonts w:ascii="Times New Roman" w:hAnsi="Times New Roman" w:cs="Times New Roman"/>
          <w:b/>
          <w:bCs/>
          <w:sz w:val="28"/>
          <w:lang w:val="ru-RU"/>
        </w:rPr>
        <w:t>недотримання регуляторним органом принципів державної регуляторної політики</w:t>
      </w:r>
      <w:r>
        <w:rPr>
          <w:rFonts w:ascii="Times New Roman" w:hAnsi="Times New Roman" w:cs="Times New Roman"/>
          <w:sz w:val="28"/>
          <w:lang w:val="ru-RU"/>
        </w:rPr>
        <w:t> </w:t>
      </w:r>
      <w:r>
        <w:rPr>
          <w:rFonts w:ascii="Times New Roman" w:hAnsi="Times New Roman" w:cs="Times New Roman"/>
          <w:b/>
          <w:bCs/>
          <w:sz w:val="28"/>
          <w:lang w:val="ru-RU"/>
        </w:rPr>
        <w:t>та встановлених Законом процедур при прийнятті регуляторного акту є підставою для визнання такого акту протиправним та нечинним</w:t>
      </w:r>
      <w:r>
        <w:rPr>
          <w:rFonts w:ascii="Times New Roman" w:hAnsi="Times New Roman" w:cs="Times New Roman"/>
          <w:sz w:val="28"/>
          <w:lang w:val="ru-RU"/>
        </w:rPr>
        <w:t>.</w:t>
      </w:r>
    </w:p>
    <w:p w:rsidR="002D1D15" w:rsidRDefault="002D1D15" w:rsidP="002D1D15">
      <w:pPr>
        <w:spacing w:after="0" w:line="240" w:lineRule="auto"/>
        <w:contextualSpacing/>
        <w:jc w:val="both"/>
        <w:rPr>
          <w:rFonts w:ascii="Times New Roman" w:hAnsi="Times New Roman" w:cs="Times New Roman"/>
          <w:sz w:val="28"/>
        </w:rPr>
      </w:pPr>
    </w:p>
    <w:p w:rsidR="002D1D15" w:rsidRDefault="002D1D15" w:rsidP="002D1D15">
      <w:pPr>
        <w:spacing w:after="0" w:line="240" w:lineRule="auto"/>
        <w:ind w:firstLine="709"/>
        <w:contextualSpacing/>
        <w:jc w:val="both"/>
        <w:rPr>
          <w:rFonts w:ascii="Times New Roman" w:hAnsi="Times New Roman" w:cs="Times New Roman"/>
          <w:sz w:val="28"/>
        </w:rPr>
      </w:pPr>
    </w:p>
    <w:p w:rsidR="00263E0D" w:rsidRDefault="00263E0D"/>
    <w:sectPr w:rsidR="00263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C3B"/>
    <w:multiLevelType w:val="multilevel"/>
    <w:tmpl w:val="097E7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9D6A08"/>
    <w:multiLevelType w:val="multilevel"/>
    <w:tmpl w:val="01F0B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15"/>
    <w:rsid w:val="00263E0D"/>
    <w:rsid w:val="002D1D15"/>
    <w:rsid w:val="002F7D4D"/>
    <w:rsid w:val="00686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15"/>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15"/>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4128</Words>
  <Characters>2353</Characters>
  <Application>Microsoft Office Word</Application>
  <DocSecurity>0</DocSecurity>
  <Lines>19</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215-Элла</dc:creator>
  <cp:lastModifiedBy>215-Элла</cp:lastModifiedBy>
  <cp:revision>1</cp:revision>
  <dcterms:created xsi:type="dcterms:W3CDTF">2021-07-13T06:26:00Z</dcterms:created>
  <dcterms:modified xsi:type="dcterms:W3CDTF">2021-07-13T06:27:00Z</dcterms:modified>
</cp:coreProperties>
</file>